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 проведении организационных мероприятий в честьпразднования Дня Государственного флага РоссийскойФедерации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Опроведении организационных мероприятий в честь празднования ДняГосударственного флага Российской Федерации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честьпразднования Дня Государственного флага Российской Федерации, 22августа 2022 года, подразделениями Федерального государственногоказенного учреждения «УВГСЧ в строительстве» проведеныторжественные построения работников дежурных смен, а такжеорганизован просмотр тематических телепередач, посвященныхпразднованию Дня Государственного флага Российской Федерации.</w:t>
            </w:r>
            <w:br/>
            <w:br/>
            <w:br/>
            <w:r>
              <w:rPr/>
              <w:t xml:space="preserve">Кроме того, организовано информирование работников о значимостипраздника для россиян – «Символа национального единения и общейответственности за настоящее и будущее нашей Родины».</w:t>
            </w:r>
            <w:br/>
            <w:br/>
            <w:r>
              <w:rPr/>
              <w:t xml:space="preserve">-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2025-10-19T17:55:47+03:00</dcterms:created>
  <dcterms:modified xsi:type="dcterms:W3CDTF">2025-10-19T17:55:47+03:00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